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Pezzi di ricambio</w:t>
      </w:r>
    </w:p>
    <w:p/>
    <w:p>
      <w:pPr/>
      <w:r>
        <w:rPr>
          <w:b w:val="1"/>
          <w:bCs w:val="1"/>
        </w:rPr>
        <w:t xml:space="preserve">Calotta di ricambio per RS PRO P1 flat S</w:t>
      </w:r>
    </w:p>
    <w:p>
      <w:pPr/>
      <w:r>
        <w:rPr>
          <w:b w:val="1"/>
          <w:bCs w:val="1"/>
        </w:rPr>
        <w:t xml:space="preserve">V3</w:t>
      </w:r>
    </w:p>
    <w:p/>
    <w:p>
      <w:pPr/>
      <w:r>
        <w:rPr/>
        <w:t xml:space="preserve">Dimensioni (Ø x H): 280 x 71 mm;Garanzia del produttore: 5 anni;VPE1, EAN: 4007841084530;colore: bianco;Contenuto della confezione: 1;Categoria die prodotto: Pezzi di ricambio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084530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Calotta di ricambio per RS PRO P1 flat S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2026-08-21T01:12:23+02:00</dcterms:created>
  <dcterms:modified xsi:type="dcterms:W3CDTF">2026-08-21T01:12:23+02:00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